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для ювелирной мастерской</w:t>
      </w:r>
    </w:p>
    <w:p>
      <w:pPr>
        <w:jc w:val="center"/>
      </w:pPr>
      <w:r>
        <w:t>Ювелирная мастерская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«Ювелирная мастерская»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Приём заказа и техническое задание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Разделение стоимости работы, металла, камней и доставки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Приём изделия заказчика и фиксация состояния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Изменение условий и приёмка результата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6. Специальный учёт и ГИИС ДМДК в применимых случаях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ГК РФ</w:t>
      </w:r>
    </w:p>
    <w:p>
      <w:pPr>
        <w:pStyle w:val="ListBullet"/>
      </w:pPr>
      <w:r>
        <w:t>Закон РФ № 2300-1</w:t>
      </w:r>
    </w:p>
    <w:p>
      <w:pPr>
        <w:pStyle w:val="ListBullet"/>
      </w:pPr>
      <w:r>
        <w:t>Федеральный закон № 41-ФЗ</w:t>
      </w:r>
    </w:p>
    <w:p>
      <w:pPr>
        <w:pStyle w:val="ListBullet"/>
      </w:pPr>
      <w:r>
        <w:t>Постановление Правительства РФ № 270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