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обмена изделия с доплатой</w:t>
      </w:r>
    </w:p>
    <w:p>
      <w:pPr>
        <w:jc w:val="center"/>
      </w:pPr>
      <w:r>
        <w:t>Клиент, магазин и мастерская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«Клиент, магазин и мастерская»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Предварительная оценка старого изделия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Цена нового товара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4. Размер доплаты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Очная проверка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Документы по обеим частям операции</w:t>
      </w:r>
    </w:p>
    <w:p>
      <w:r>
        <w:t>Фактический участник операции самостоятельно оформляет обязательные первичные, кассовые, налоговые и отраслевые документы, если законодательство возлагает эту обязанность на него.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Закон РФ № 2300-1</w:t>
      </w:r>
    </w:p>
    <w:p>
      <w:pPr>
        <w:pStyle w:val="ListBullet"/>
      </w:pPr>
      <w:r>
        <w:t>Федеральный закон № 41-ФЗ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