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тарифов, комиссий и начислений</w:t>
      </w:r>
    </w:p>
    <w:p>
      <w:pPr>
        <w:jc w:val="center"/>
      </w:pPr>
      <w:r>
        <w:t>Профессиональные участники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«Профессиональные участники»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Тариф, период и лимиты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Комиссионная ставка и база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4. Комиссия изготовления только с работы при такой настройке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5. Финансовый снимок сделки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6. Начисления, оплата, документы и возвраты</w:t>
      </w:r>
    </w:p>
    <w:p>
      <w:r>
        <w:t>До подтверждения операции интерфейс должен показывать понятную стоимость, основание начисления и применимое правило. Уже зафиксированный финансовый снимок не изменяется задним числом только из-за последующей настройки тарифа.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</w:t>
      </w:r>
    </w:p>
    <w:p>
      <w:pPr>
        <w:pStyle w:val="ListBullet"/>
      </w:pPr>
      <w:r>
        <w:t>Закон РФ № 2300-1</w:t>
      </w:r>
    </w:p>
    <w:p>
      <w:pPr>
        <w:pStyle w:val="ListBullet"/>
      </w:pPr>
      <w:r>
        <w:t>Федеральный закон № 54-ФЗ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