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Правила оплаты и безопасной сделки</w:t>
      </w:r>
    </w:p>
    <w:p>
      <w:pPr>
        <w:jc w:val="center"/>
      </w:pPr>
      <w:r>
        <w:rPr>
          <w:i/>
        </w:rPr>
        <w:t>Платежи, этапы, чеки, выплаты и возвраты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Роли</w:t>
      </w:r>
    </w:p>
    <w:p>
      <w:r>
        <w:t>Агрегатор: Индивидуальный предприниматель Головин Александр Валерьевич. Платформа не является банком; расчёты выполняет уполномоченный платёжный провайдер.</w:t>
      </w:r>
    </w:p>
    <w:p>
      <w:pPr>
        <w:pStyle w:val="Heading1"/>
      </w:pPr>
      <w:r>
        <w:t>2. Информация до оплаты</w:t>
      </w:r>
    </w:p>
    <w:p>
      <w:r>
        <w:t>До оплаты показываются исполнитель, предмет расчёта, цена, комиссия, график этапов, условия выплаты и лицо, обязанное сформировать чек.</w:t>
      </w:r>
    </w:p>
    <w:p>
      <w:pPr>
        <w:pStyle w:val="Heading1"/>
      </w:pPr>
      <w:r>
        <w:t>3. Этапы и выплаты</w:t>
      </w:r>
    </w:p>
    <w:p>
      <w:r>
        <w:t>Следующий этап открывается после подтверждения предыдущего. Выплата исполнителю выполняется по согласованному графику и правилам провайдера.</w:t>
      </w:r>
    </w:p>
    <w:p>
      <w:pPr>
        <w:pStyle w:val="Heading1"/>
      </w:pPr>
      <w:r>
        <w:t>4. Возвраты и споры</w:t>
      </w:r>
    </w:p>
    <w:p>
      <w:r>
        <w:t>Возврат учитывает выполненную работу и документально подтверждённые расходы. Внутренняя процедура не ограничивает обращение в государственный орган или суд.</w:t>
      </w:r>
    </w:p>
    <w:p>
      <w:pPr>
        <w:pStyle w:val="Heading1"/>
      </w:pPr>
      <w:r>
        <w:t>5. Налоги и чеки</w:t>
      </w:r>
    </w:p>
    <w:p>
      <w:r>
        <w:t>Налоговый режим Агрегатора: 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 Чек за работу исполнителя формирует лицо, на которое обязанность возложена законом и договорной моделью.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 и претензий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Правила оплаты и безопасной сделки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