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Ювелирка.Pro · ролевой юридический комплект</w:t>
      </w:r>
    </w:p>
    <w:p>
      <w:r>
        <w:t>Версия 1.0-2026-08-08. Рабочая редакция для юридической проверки перед коммерческим запуском.</w:t>
      </w:r>
    </w:p>
    <w:p>
      <w:r>
        <w:br w:type="page"/>
      </w:r>
    </w:p>
    <w:p>
      <w:pPr>
        <w:pStyle w:val="Heading1"/>
      </w:pPr>
      <w:r>
        <w:t>Правила использования платформы</w:t>
      </w:r>
    </w:p>
    <w:p>
      <w:r>
        <w:t>Для всех участников</w:t>
      </w:r>
    </w:p>
    <w:p>
      <w:pPr>
        <w:pStyle w:val="ListBullet"/>
      </w:pPr>
      <w:r>
        <w:t>Назначение и модель платформы</w:t>
      </w:r>
    </w:p>
    <w:p>
      <w:pPr>
        <w:pStyle w:val="ListBullet"/>
      </w:pPr>
      <w:r>
        <w:t>Аккаунт, безопасность и запрещённые действия</w:t>
      </w:r>
    </w:p>
    <w:p>
      <w:pPr>
        <w:pStyle w:val="ListBullet"/>
      </w:pPr>
      <w:r>
        <w:t>Электронные подтверждения и журнал действий</w:t>
      </w:r>
    </w:p>
    <w:p>
      <w:pPr>
        <w:pStyle w:val="ListBullet"/>
      </w:pPr>
      <w:r>
        <w:t>Ограничение доступа и обращения</w:t>
      </w:r>
    </w:p>
    <w:p>
      <w:pPr>
        <w:pStyle w:val="Heading2"/>
      </w:pPr>
      <w:r>
        <w:t>Нормативная база</w:t>
      </w:r>
    </w:p>
    <w:p>
      <w:pPr>
        <w:pStyle w:val="ListBullet"/>
      </w:pPr>
      <w:r>
        <w:t>ГК РФ, статьи 435-438</w:t>
      </w:r>
    </w:p>
    <w:p>
      <w:pPr>
        <w:pStyle w:val="ListBullet"/>
      </w:pPr>
      <w:r>
        <w:t>Федеральный закон № 149-ФЗ</w:t>
      </w:r>
    </w:p>
    <w:p>
      <w:r>
        <w:br w:type="page"/>
      </w:r>
    </w:p>
    <w:p>
      <w:pPr>
        <w:pStyle w:val="Heading1"/>
      </w:pPr>
      <w:r>
        <w:t>Согласие на распространение персональных данных</w:t>
      </w:r>
    </w:p>
    <w:p>
      <w:r>
        <w:t>Для публичных профилей и продавцов</w:t>
      </w:r>
    </w:p>
    <w:p>
      <w:pPr>
        <w:pStyle w:val="ListBullet"/>
      </w:pPr>
      <w:r>
        <w:t>Перечень данных, которые пользователь разрешает публиковать</w:t>
      </w:r>
    </w:p>
    <w:p>
      <w:pPr>
        <w:pStyle w:val="ListBullet"/>
      </w:pPr>
      <w:r>
        <w:t>Отдельность согласия от общего согласия на обработку данных</w:t>
      </w:r>
    </w:p>
    <w:p>
      <w:pPr>
        <w:pStyle w:val="ListBullet"/>
      </w:pPr>
      <w:r>
        <w:t>Запреты и условия распространения</w:t>
      </w:r>
    </w:p>
    <w:p>
      <w:pPr>
        <w:pStyle w:val="ListBullet"/>
      </w:pPr>
      <w:r>
        <w:t>Отзыв согласия и прекращение публикации</w:t>
      </w:r>
    </w:p>
    <w:p>
      <w:pPr>
        <w:pStyle w:val="Heading2"/>
      </w:pPr>
      <w:r>
        <w:t>Нормативная база</w:t>
      </w:r>
    </w:p>
    <w:p>
      <w:pPr>
        <w:pStyle w:val="ListBullet"/>
      </w:pPr>
      <w:r>
        <w:t>Федеральный закон № 152-ФЗ, статья 10.1</w:t>
      </w:r>
    </w:p>
    <w:p>
      <w:r>
        <w:br w:type="page"/>
      </w:r>
    </w:p>
    <w:p>
      <w:pPr>
        <w:pStyle w:val="Heading1"/>
      </w:pPr>
      <w:r>
        <w:t>Согласие на рекламные и маркетинговые сообщения</w:t>
      </w:r>
    </w:p>
    <w:p>
      <w:r>
        <w:t>Для всех участников</w:t>
      </w:r>
    </w:p>
    <w:p>
      <w:pPr>
        <w:pStyle w:val="ListBullet"/>
      </w:pPr>
      <w:r>
        <w:t>Каналы рекламных сообщений</w:t>
      </w:r>
    </w:p>
    <w:p>
      <w:pPr>
        <w:pStyle w:val="ListBullet"/>
      </w:pPr>
      <w:r>
        <w:t>Предварительное добровольное согласие</w:t>
      </w:r>
    </w:p>
    <w:p>
      <w:pPr>
        <w:pStyle w:val="ListBullet"/>
      </w:pPr>
      <w:r>
        <w:t>Отделение рекламы от сервисных уведомлений</w:t>
      </w:r>
    </w:p>
    <w:p>
      <w:pPr>
        <w:pStyle w:val="ListBullet"/>
      </w:pPr>
      <w:r>
        <w:t>Порядок отзыва согласия</w:t>
      </w:r>
    </w:p>
    <w:p>
      <w:pPr>
        <w:pStyle w:val="Heading2"/>
      </w:pPr>
      <w:r>
        <w:t>Нормативная база</w:t>
      </w:r>
    </w:p>
    <w:p>
      <w:pPr>
        <w:pStyle w:val="ListBullet"/>
      </w:pPr>
      <w:r>
        <w:t>Федеральный закон № 38-ФЗ, статья 18</w:t>
      </w:r>
    </w:p>
    <w:p>
      <w:r>
        <w:br w:type="page"/>
      </w:r>
    </w:p>
    <w:p>
      <w:pPr>
        <w:pStyle w:val="Heading1"/>
      </w:pPr>
      <w:r>
        <w:t>Правила простой электронной подписи</w:t>
      </w:r>
    </w:p>
    <w:p>
      <w:r>
        <w:t>Для всех участников</w:t>
      </w:r>
    </w:p>
    <w:p>
      <w:pPr>
        <w:pStyle w:val="ListBullet"/>
      </w:pPr>
      <w:r>
        <w:t>Идентификация пользователя</w:t>
      </w:r>
    </w:p>
    <w:p>
      <w:pPr>
        <w:pStyle w:val="ListBullet"/>
      </w:pPr>
      <w:r>
        <w:t>Действия, считающиеся электронным подтверждением</w:t>
      </w:r>
    </w:p>
    <w:p>
      <w:pPr>
        <w:pStyle w:val="ListBullet"/>
      </w:pPr>
      <w:r>
        <w:t>Защита учётных данных</w:t>
      </w:r>
    </w:p>
    <w:p>
      <w:pPr>
        <w:pStyle w:val="ListBullet"/>
      </w:pPr>
      <w:r>
        <w:t>Журналирование акцептов и операций</w:t>
      </w:r>
    </w:p>
    <w:p>
      <w:pPr>
        <w:pStyle w:val="Heading2"/>
      </w:pPr>
      <w:r>
        <w:t>Нормативная база</w:t>
      </w:r>
    </w:p>
    <w:p>
      <w:pPr>
        <w:pStyle w:val="ListBullet"/>
      </w:pPr>
      <w:r>
        <w:t>Федеральный закон № 63-ФЗ, статья 9</w:t>
      </w:r>
    </w:p>
    <w:p>
      <w:pPr>
        <w:pStyle w:val="ListBullet"/>
      </w:pPr>
      <w:r>
        <w:t>ГК РФ, статья 438</w:t>
      </w:r>
    </w:p>
    <w:p>
      <w:r>
        <w:br w:type="page"/>
      </w:r>
    </w:p>
    <w:p>
      <w:pPr>
        <w:pStyle w:val="Heading1"/>
      </w:pPr>
      <w:r>
        <w:t>Правила для частного продавца</w:t>
      </w:r>
    </w:p>
    <w:p>
      <w:r>
        <w:t>Частный продавец</w:t>
      </w:r>
    </w:p>
    <w:p>
      <w:pPr>
        <w:pStyle w:val="ListBullet"/>
      </w:pPr>
      <w:r>
        <w:t>Право распоряжаться изделием</w:t>
      </w:r>
    </w:p>
    <w:p>
      <w:pPr>
        <w:pStyle w:val="ListBullet"/>
      </w:pPr>
      <w:r>
        <w:t>Достоверность карточки и фотографий</w:t>
      </w:r>
    </w:p>
    <w:p>
      <w:pPr>
        <w:pStyle w:val="ListBullet"/>
      </w:pPr>
      <w:r>
        <w:t>Продажа через платформу</w:t>
      </w:r>
    </w:p>
    <w:p>
      <w:pPr>
        <w:pStyle w:val="ListBullet"/>
      </w:pPr>
      <w:r>
        <w:t>Продажа вне платформы и закрытие объявления</w:t>
      </w:r>
    </w:p>
    <w:p>
      <w:pPr>
        <w:pStyle w:val="ListBullet"/>
      </w:pPr>
      <w:r>
        <w:t>Споры и доказательства</w:t>
      </w:r>
    </w:p>
    <w:p>
      <w:pPr>
        <w:pStyle w:val="Heading2"/>
      </w:pPr>
      <w:r>
        <w:t>Нормативная база</w:t>
      </w:r>
    </w:p>
    <w:p>
      <w:pPr>
        <w:pStyle w:val="ListBullet"/>
      </w:pPr>
      <w:r>
        <w:t>ГК РФ</w:t>
      </w:r>
    </w:p>
    <w:p>
      <w:pPr>
        <w:pStyle w:val="ListBullet"/>
      </w:pPr>
      <w:r>
        <w:t>Закон РФ № 2300-1 в применимых случаях</w:t>
      </w:r>
    </w:p>
    <w:p>
      <w:r>
        <w:br w:type="page"/>
      </w:r>
    </w:p>
    <w:p>
      <w:pPr>
        <w:pStyle w:val="Heading1"/>
      </w:pPr>
      <w:r>
        <w:t>Правила профессионального продавца</w:t>
      </w:r>
    </w:p>
    <w:p>
      <w:r>
        <w:t>Магазины, мастерские и профессиональные продавцы</w:t>
      </w:r>
    </w:p>
    <w:p>
      <w:pPr>
        <w:pStyle w:val="ListBullet"/>
      </w:pPr>
      <w:r>
        <w:t>Сведения о продавце</w:t>
      </w:r>
    </w:p>
    <w:p>
      <w:pPr>
        <w:pStyle w:val="ListBullet"/>
      </w:pPr>
      <w:r>
        <w:t>Обязательная информация о товаре</w:t>
      </w:r>
    </w:p>
    <w:p>
      <w:pPr>
        <w:pStyle w:val="ListBullet"/>
      </w:pPr>
      <w:r>
        <w:t>Дистанционная продажа и возвраты</w:t>
      </w:r>
    </w:p>
    <w:p>
      <w:pPr>
        <w:pStyle w:val="ListBullet"/>
      </w:pPr>
      <w:r>
        <w:t>Остатки, резерв и запрет повторной продажи</w:t>
      </w:r>
    </w:p>
    <w:p>
      <w:pPr>
        <w:pStyle w:val="ListBullet"/>
      </w:pPr>
      <w:r>
        <w:t>Документы при передаче товара</w:t>
      </w:r>
    </w:p>
    <w:p>
      <w:pPr>
        <w:pStyle w:val="Heading2"/>
      </w:pPr>
      <w:r>
        <w:t>Нормативная база</w:t>
      </w:r>
    </w:p>
    <w:p>
      <w:pPr>
        <w:pStyle w:val="ListBullet"/>
      </w:pPr>
      <w:r>
        <w:t>Закон РФ № 2300-1, статьи 8-10 и 26.1</w:t>
      </w:r>
    </w:p>
    <w:p>
      <w:r>
        <w:br w:type="page"/>
      </w:r>
    </w:p>
    <w:p>
      <w:pPr>
        <w:pStyle w:val="Heading1"/>
      </w:pPr>
      <w:r>
        <w:t>Правила для ювелирной мастерской</w:t>
      </w:r>
    </w:p>
    <w:p>
      <w:r>
        <w:t>Ювелирная мастерская</w:t>
      </w:r>
    </w:p>
    <w:p>
      <w:pPr>
        <w:pStyle w:val="ListBullet"/>
      </w:pPr>
      <w:r>
        <w:t>Приём заказа и техническое задание</w:t>
      </w:r>
    </w:p>
    <w:p>
      <w:pPr>
        <w:pStyle w:val="ListBullet"/>
      </w:pPr>
      <w:r>
        <w:t>Разделение стоимости работы, металла, камней и доставки</w:t>
      </w:r>
    </w:p>
    <w:p>
      <w:pPr>
        <w:pStyle w:val="ListBullet"/>
      </w:pPr>
      <w:r>
        <w:t>Приём изделия заказчика и фиксация состояния</w:t>
      </w:r>
    </w:p>
    <w:p>
      <w:pPr>
        <w:pStyle w:val="ListBullet"/>
      </w:pPr>
      <w:r>
        <w:t>Изменение условий и приёмка результата</w:t>
      </w:r>
    </w:p>
    <w:p>
      <w:pPr>
        <w:pStyle w:val="ListBullet"/>
      </w:pPr>
      <w:r>
        <w:t>Специальный учёт и ГИИС ДМДК в применимых случаях</w:t>
      </w:r>
    </w:p>
    <w:p>
      <w:pPr>
        <w:pStyle w:val="Heading2"/>
      </w:pPr>
      <w:r>
        <w:t>Нормативная база</w:t>
      </w:r>
    </w:p>
    <w:p>
      <w:pPr>
        <w:pStyle w:val="ListBullet"/>
      </w:pPr>
      <w:r>
        <w:t>ГК РФ</w:t>
      </w:r>
    </w:p>
    <w:p>
      <w:pPr>
        <w:pStyle w:val="ListBullet"/>
      </w:pPr>
      <w:r>
        <w:t>Закон РФ № 2300-1</w:t>
      </w:r>
    </w:p>
    <w:p>
      <w:pPr>
        <w:pStyle w:val="ListBullet"/>
      </w:pPr>
      <w:r>
        <w:t>Федеральный закон № 41-ФЗ</w:t>
      </w:r>
    </w:p>
    <w:p>
      <w:pPr>
        <w:pStyle w:val="ListBullet"/>
      </w:pPr>
      <w:r>
        <w:t>Постановление Правительства РФ № 270</w:t>
      </w:r>
    </w:p>
    <w:p>
      <w:r>
        <w:br w:type="page"/>
      </w:r>
    </w:p>
    <w:p>
      <w:pPr>
        <w:pStyle w:val="Heading1"/>
      </w:pPr>
      <w:r>
        <w:t>Правила для 3D-моделлера</w:t>
      </w:r>
    </w:p>
    <w:p>
      <w:r>
        <w:t>3D-моделлер</w:t>
      </w:r>
    </w:p>
    <w:p>
      <w:pPr>
        <w:pStyle w:val="ListBullet"/>
      </w:pPr>
      <w:r>
        <w:t>Техническое задание и допуски</w:t>
      </w:r>
    </w:p>
    <w:p>
      <w:pPr>
        <w:pStyle w:val="ListBullet"/>
      </w:pPr>
      <w:r>
        <w:t>Версии и количество правок</w:t>
      </w:r>
    </w:p>
    <w:p>
      <w:pPr>
        <w:pStyle w:val="ListBullet"/>
      </w:pPr>
      <w:r>
        <w:t>Передача файлов</w:t>
      </w:r>
    </w:p>
    <w:p>
      <w:pPr>
        <w:pStyle w:val="ListBullet"/>
      </w:pPr>
      <w:r>
        <w:t>Лицензии и исключительные права</w:t>
      </w:r>
    </w:p>
    <w:p>
      <w:pPr>
        <w:pStyle w:val="ListBullet"/>
      </w:pPr>
      <w:r>
        <w:t>Использование работы в портфолио</w:t>
      </w:r>
    </w:p>
    <w:p>
      <w:pPr>
        <w:pStyle w:val="Heading2"/>
      </w:pPr>
      <w:r>
        <w:t>Нормативная база</w:t>
      </w:r>
    </w:p>
    <w:p>
      <w:pPr>
        <w:pStyle w:val="ListBullet"/>
      </w:pPr>
      <w:r>
        <w:t>ГК РФ, часть IV</w:t>
      </w:r>
    </w:p>
    <w:p>
      <w:pPr>
        <w:pStyle w:val="ListBullet"/>
      </w:pPr>
      <w:r>
        <w:t>Федеральный закон № 152-ФЗ</w:t>
      </w:r>
    </w:p>
    <w:p>
      <w:r>
        <w:br w:type="page"/>
      </w:r>
    </w:p>
    <w:p>
      <w:pPr>
        <w:pStyle w:val="Heading1"/>
      </w:pPr>
      <w:r>
        <w:t>Правила экспертизы и оценки</w:t>
      </w:r>
    </w:p>
    <w:p>
      <w:r>
        <w:t>Эксперт и оценщик</w:t>
      </w:r>
    </w:p>
    <w:p>
      <w:pPr>
        <w:pStyle w:val="ListBullet"/>
      </w:pPr>
      <w:r>
        <w:t>Независимость и конфликт интересов</w:t>
      </w:r>
    </w:p>
    <w:p>
      <w:pPr>
        <w:pStyle w:val="ListBullet"/>
      </w:pPr>
      <w:r>
        <w:t>Исходные материалы и методы</w:t>
      </w:r>
    </w:p>
    <w:p>
      <w:pPr>
        <w:pStyle w:val="ListBullet"/>
      </w:pPr>
      <w:r>
        <w:t>Предварительная и очная оценка</w:t>
      </w:r>
    </w:p>
    <w:p>
      <w:pPr>
        <w:pStyle w:val="ListBullet"/>
      </w:pPr>
      <w:r>
        <w:t>Содержание заключения</w:t>
      </w:r>
    </w:p>
    <w:p>
      <w:pPr>
        <w:pStyle w:val="ListBullet"/>
      </w:pPr>
      <w:r>
        <w:t>Хранение доказательств</w:t>
      </w:r>
    </w:p>
    <w:p>
      <w:pPr>
        <w:pStyle w:val="Heading2"/>
      </w:pPr>
      <w:r>
        <w:t>Нормативная база</w:t>
      </w:r>
    </w:p>
    <w:p>
      <w:pPr>
        <w:pStyle w:val="ListBullet"/>
      </w:pPr>
      <w:r>
        <w:t>ГК РФ</w:t>
      </w:r>
    </w:p>
    <w:p>
      <w:pPr>
        <w:pStyle w:val="ListBullet"/>
      </w:pPr>
      <w:r>
        <w:t>Закон РФ № 2300-1 в применимых случаях</w:t>
      </w:r>
    </w:p>
    <w:p>
      <w:r>
        <w:br w:type="page"/>
      </w:r>
    </w:p>
    <w:p>
      <w:pPr>
        <w:pStyle w:val="Heading1"/>
      </w:pPr>
      <w:r>
        <w:t>Правила B2B-заказов и производства</w:t>
      </w:r>
    </w:p>
    <w:p>
      <w:r>
        <w:t>Организации и подрядчики</w:t>
      </w:r>
    </w:p>
    <w:p>
      <w:pPr>
        <w:pStyle w:val="ListBullet"/>
      </w:pPr>
      <w:r>
        <w:t>Спецификация и партия</w:t>
      </w:r>
    </w:p>
    <w:p>
      <w:pPr>
        <w:pStyle w:val="ListBullet"/>
      </w:pPr>
      <w:r>
        <w:t>Цена, сроки и критерии приёмки</w:t>
      </w:r>
    </w:p>
    <w:p>
      <w:pPr>
        <w:pStyle w:val="ListBullet"/>
      </w:pPr>
      <w:r>
        <w:t>Подрядчики и ответственность</w:t>
      </w:r>
    </w:p>
    <w:p>
      <w:pPr>
        <w:pStyle w:val="ListBullet"/>
      </w:pPr>
      <w:r>
        <w:t>Контроль качества и переделка</w:t>
      </w:r>
    </w:p>
    <w:p>
      <w:pPr>
        <w:pStyle w:val="ListBullet"/>
      </w:pPr>
      <w:r>
        <w:t>Первичные и отраслевые документы</w:t>
      </w:r>
    </w:p>
    <w:p>
      <w:pPr>
        <w:pStyle w:val="Heading2"/>
      </w:pPr>
      <w:r>
        <w:t>Нормативная база</w:t>
      </w:r>
    </w:p>
    <w:p>
      <w:pPr>
        <w:pStyle w:val="ListBullet"/>
      </w:pPr>
      <w:r>
        <w:t>ГК РФ</w:t>
      </w:r>
    </w:p>
    <w:p>
      <w:pPr>
        <w:pStyle w:val="ListBullet"/>
      </w:pPr>
      <w:r>
        <w:t>Федеральный закон № 41-ФЗ в применимых случаях</w:t>
      </w:r>
    </w:p>
    <w:p>
      <w:r>
        <w:br w:type="page"/>
      </w:r>
    </w:p>
    <w:p>
      <w:pPr>
        <w:pStyle w:val="Heading1"/>
      </w:pPr>
      <w:r>
        <w:t>Правила логистического партнёра</w:t>
      </w:r>
    </w:p>
    <w:p>
      <w:r>
        <w:t>Логистический партнёр</w:t>
      </w:r>
    </w:p>
    <w:p>
      <w:pPr>
        <w:pStyle w:val="ListBullet"/>
      </w:pPr>
      <w:r>
        <w:t>Идентификация отправления</w:t>
      </w:r>
    </w:p>
    <w:p>
      <w:pPr>
        <w:pStyle w:val="ListBullet"/>
      </w:pPr>
      <w:r>
        <w:t>Упаковка и безопасность</w:t>
      </w:r>
    </w:p>
    <w:p>
      <w:pPr>
        <w:pStyle w:val="ListBullet"/>
      </w:pPr>
      <w:r>
        <w:t>Статусы передачи</w:t>
      </w:r>
    </w:p>
    <w:p>
      <w:pPr>
        <w:pStyle w:val="ListBullet"/>
      </w:pPr>
      <w:r>
        <w:t>Подтверждение получения</w:t>
      </w:r>
    </w:p>
    <w:p>
      <w:pPr>
        <w:pStyle w:val="ListBullet"/>
      </w:pPr>
      <w:r>
        <w:t>Повреждение, утрата и инциденты</w:t>
      </w:r>
    </w:p>
    <w:p>
      <w:pPr>
        <w:pStyle w:val="Heading2"/>
      </w:pPr>
      <w:r>
        <w:t>Нормативная база</w:t>
      </w:r>
    </w:p>
    <w:p>
      <w:pPr>
        <w:pStyle w:val="ListBullet"/>
      </w:pPr>
      <w:r>
        <w:t>ГК РФ, нормы о перевозке и экспедиции</w:t>
      </w:r>
    </w:p>
    <w:p>
      <w:r>
        <w:br w:type="page"/>
      </w:r>
    </w:p>
    <w:p>
      <w:pPr>
        <w:pStyle w:val="Heading1"/>
      </w:pPr>
      <w:r>
        <w:t>Правила партнёра по скупке</w:t>
      </w:r>
    </w:p>
    <w:p>
      <w:r>
        <w:t>Скупщик драгоценных металлов и изделий</w:t>
      </w:r>
    </w:p>
    <w:p>
      <w:pPr>
        <w:pStyle w:val="ListBullet"/>
      </w:pPr>
      <w:r>
        <w:t>Предварительная заявка</w:t>
      </w:r>
    </w:p>
    <w:p>
      <w:pPr>
        <w:pStyle w:val="ListBullet"/>
      </w:pPr>
      <w:r>
        <w:t>Проверка правового статуса партнёра</w:t>
      </w:r>
    </w:p>
    <w:p>
      <w:pPr>
        <w:pStyle w:val="ListBullet"/>
      </w:pPr>
      <w:r>
        <w:t>Очная оценка</w:t>
      </w:r>
    </w:p>
    <w:p>
      <w:pPr>
        <w:pStyle w:val="ListBullet"/>
      </w:pPr>
      <w:r>
        <w:t>Окончательная цена и расчёт</w:t>
      </w:r>
    </w:p>
    <w:p>
      <w:pPr>
        <w:pStyle w:val="ListBullet"/>
      </w:pPr>
      <w:r>
        <w:t>Кассовые и отраслевые документы</w:t>
      </w:r>
    </w:p>
    <w:p>
      <w:pPr>
        <w:pStyle w:val="Heading2"/>
      </w:pPr>
      <w:r>
        <w:t>Нормативная база</w:t>
      </w:r>
    </w:p>
    <w:p>
      <w:pPr>
        <w:pStyle w:val="ListBullet"/>
      </w:pPr>
      <w:r>
        <w:t>Федеральный закон № 41-ФЗ</w:t>
      </w:r>
    </w:p>
    <w:p>
      <w:pPr>
        <w:pStyle w:val="ListBullet"/>
      </w:pPr>
      <w:r>
        <w:t>Постановление Правительства РФ № 270</w:t>
      </w:r>
    </w:p>
    <w:p>
      <w:pPr>
        <w:pStyle w:val="ListBullet"/>
      </w:pPr>
      <w:r>
        <w:t>Федеральный закон № 54-ФЗ</w:t>
      </w:r>
    </w:p>
    <w:p>
      <w:r>
        <w:br w:type="page"/>
      </w:r>
    </w:p>
    <w:p>
      <w:pPr>
        <w:pStyle w:val="Heading1"/>
      </w:pPr>
      <w:r>
        <w:t>Правила обмена изделия с доплатой</w:t>
      </w:r>
    </w:p>
    <w:p>
      <w:r>
        <w:t>Клиент, магазин и мастерская</w:t>
      </w:r>
    </w:p>
    <w:p>
      <w:pPr>
        <w:pStyle w:val="ListBullet"/>
      </w:pPr>
      <w:r>
        <w:t>Предварительная оценка старого изделия</w:t>
      </w:r>
    </w:p>
    <w:p>
      <w:pPr>
        <w:pStyle w:val="ListBullet"/>
      </w:pPr>
      <w:r>
        <w:t>Цена нового товара</w:t>
      </w:r>
    </w:p>
    <w:p>
      <w:pPr>
        <w:pStyle w:val="ListBullet"/>
      </w:pPr>
      <w:r>
        <w:t>Размер доплаты</w:t>
      </w:r>
    </w:p>
    <w:p>
      <w:pPr>
        <w:pStyle w:val="ListBullet"/>
      </w:pPr>
      <w:r>
        <w:t>Очная проверка</w:t>
      </w:r>
    </w:p>
    <w:p>
      <w:pPr>
        <w:pStyle w:val="ListBullet"/>
      </w:pPr>
      <w:r>
        <w:t>Документы по обеим частям операции</w:t>
      </w:r>
    </w:p>
    <w:p>
      <w:pPr>
        <w:pStyle w:val="Heading2"/>
      </w:pPr>
      <w:r>
        <w:t>Нормативная база</w:t>
      </w:r>
    </w:p>
    <w:p>
      <w:pPr>
        <w:pStyle w:val="ListBullet"/>
      </w:pPr>
      <w:r>
        <w:t>Закон РФ № 2300-1</w:t>
      </w:r>
    </w:p>
    <w:p>
      <w:pPr>
        <w:pStyle w:val="ListBullet"/>
      </w:pPr>
      <w:r>
        <w:t>Федеральный закон № 41-ФЗ</w:t>
      </w:r>
    </w:p>
    <w:p>
      <w:r>
        <w:br w:type="page"/>
      </w:r>
    </w:p>
    <w:p>
      <w:pPr>
        <w:pStyle w:val="Heading1"/>
      </w:pPr>
      <w:r>
        <w:t>Правила платного продвижения объявлений</w:t>
      </w:r>
    </w:p>
    <w:p>
      <w:r>
        <w:t>Все продавцы</w:t>
      </w:r>
    </w:p>
    <w:p>
      <w:pPr>
        <w:pStyle w:val="ListBullet"/>
      </w:pPr>
      <w:r>
        <w:t>Услуга «Поднять»</w:t>
      </w:r>
    </w:p>
    <w:p>
      <w:pPr>
        <w:pStyle w:val="ListBullet"/>
      </w:pPr>
      <w:r>
        <w:t>Услуга «Выделить»</w:t>
      </w:r>
    </w:p>
    <w:p>
      <w:pPr>
        <w:pStyle w:val="ListBullet"/>
      </w:pPr>
      <w:r>
        <w:t>Цена и срок действия</w:t>
      </w:r>
    </w:p>
    <w:p>
      <w:pPr>
        <w:pStyle w:val="ListBullet"/>
      </w:pPr>
      <w:r>
        <w:t>Момент оказания услуги</w:t>
      </w:r>
    </w:p>
    <w:p>
      <w:pPr>
        <w:pStyle w:val="ListBullet"/>
      </w:pPr>
      <w:r>
        <w:t>Отсутствие гарантии продажи</w:t>
      </w:r>
    </w:p>
    <w:p>
      <w:pPr>
        <w:pStyle w:val="Heading2"/>
      </w:pPr>
      <w:r>
        <w:t>Нормативная база</w:t>
      </w:r>
    </w:p>
    <w:p>
      <w:pPr>
        <w:pStyle w:val="ListBullet"/>
      </w:pPr>
      <w:r>
        <w:t>ГК РФ</w:t>
      </w:r>
    </w:p>
    <w:p>
      <w:pPr>
        <w:pStyle w:val="ListBullet"/>
      </w:pPr>
      <w:r>
        <w:t>Закон РФ № 2300-1 в применимых случаях</w:t>
      </w:r>
    </w:p>
    <w:p>
      <w:r>
        <w:br w:type="page"/>
      </w:r>
    </w:p>
    <w:p>
      <w:pPr>
        <w:pStyle w:val="Heading1"/>
      </w:pPr>
      <w:r>
        <w:t>Правила тарифов, комиссий и начислений</w:t>
      </w:r>
    </w:p>
    <w:p>
      <w:r>
        <w:t>Профессиональные участники</w:t>
      </w:r>
    </w:p>
    <w:p>
      <w:pPr>
        <w:pStyle w:val="ListBullet"/>
      </w:pPr>
      <w:r>
        <w:t>Тариф, период и лимиты</w:t>
      </w:r>
    </w:p>
    <w:p>
      <w:pPr>
        <w:pStyle w:val="ListBullet"/>
      </w:pPr>
      <w:r>
        <w:t>Комиссионная ставка и база</w:t>
      </w:r>
    </w:p>
    <w:p>
      <w:pPr>
        <w:pStyle w:val="ListBullet"/>
      </w:pPr>
      <w:r>
        <w:t>Комиссия изготовления только с работы при такой настройке</w:t>
      </w:r>
    </w:p>
    <w:p>
      <w:pPr>
        <w:pStyle w:val="ListBullet"/>
      </w:pPr>
      <w:r>
        <w:t>Финансовый снимок сделки</w:t>
      </w:r>
    </w:p>
    <w:p>
      <w:pPr>
        <w:pStyle w:val="ListBullet"/>
      </w:pPr>
      <w:r>
        <w:t>Начисления, оплата, документы и возвраты</w:t>
      </w:r>
    </w:p>
    <w:p>
      <w:pPr>
        <w:pStyle w:val="Heading2"/>
      </w:pPr>
      <w:r>
        <w:t>Нормативная база</w:t>
      </w:r>
    </w:p>
    <w:p>
      <w:pPr>
        <w:pStyle w:val="ListBullet"/>
      </w:pPr>
      <w:r>
        <w:t>ГК РФ</w:t>
      </w:r>
    </w:p>
    <w:p>
      <w:pPr>
        <w:pStyle w:val="ListBullet"/>
      </w:pPr>
      <w:r>
        <w:t>Закон РФ № 2300-1</w:t>
      </w:r>
    </w:p>
    <w:p>
      <w:pPr>
        <w:pStyle w:val="ListBullet"/>
      </w:pPr>
      <w:r>
        <w:t>Федеральный закон № 54-ФЗ</w:t>
      </w:r>
    </w:p>
    <w:p>
      <w:r>
        <w:br w:type="page"/>
      </w:r>
    </w:p>
    <w:p>
      <w:pPr>
        <w:pStyle w:val="Heading1"/>
      </w:pPr>
      <w:r>
        <w:t>Правила отзывов, рейтинга и пользовательского контента</w:t>
      </w:r>
    </w:p>
    <w:p>
      <w:r>
        <w:t>Для всех участников</w:t>
      </w:r>
    </w:p>
    <w:p>
      <w:pPr>
        <w:pStyle w:val="ListBullet"/>
      </w:pPr>
      <w:r>
        <w:t>Отзывы только по реальному взаимодействию</w:t>
      </w:r>
    </w:p>
    <w:p>
      <w:pPr>
        <w:pStyle w:val="ListBullet"/>
      </w:pPr>
      <w:r>
        <w:t>Запрет персональных и банковских данных третьих лиц</w:t>
      </w:r>
    </w:p>
    <w:p>
      <w:pPr>
        <w:pStyle w:val="ListBullet"/>
      </w:pPr>
      <w:r>
        <w:t>Права на фотографии и файлы</w:t>
      </w:r>
    </w:p>
    <w:p>
      <w:pPr>
        <w:pStyle w:val="ListBullet"/>
      </w:pPr>
      <w:r>
        <w:t>Модерация и причина ограничения</w:t>
      </w:r>
    </w:p>
    <w:p>
      <w:pPr>
        <w:pStyle w:val="ListBullet"/>
      </w:pPr>
      <w:r>
        <w:t>Обжалование решения</w:t>
      </w:r>
    </w:p>
    <w:p>
      <w:pPr>
        <w:pStyle w:val="Heading2"/>
      </w:pPr>
      <w:r>
        <w:t>Нормативная база</w:t>
      </w:r>
    </w:p>
    <w:p>
      <w:pPr>
        <w:pStyle w:val="ListBullet"/>
      </w:pPr>
      <w:r>
        <w:t>ГК РФ, часть IV</w:t>
      </w:r>
    </w:p>
    <w:p>
      <w:pPr>
        <w:pStyle w:val="ListBullet"/>
      </w:pPr>
      <w:r>
        <w:t>Федеральный закон № 149-ФЗ</w:t>
      </w:r>
    </w:p>
    <w:p>
      <w:pPr>
        <w:pStyle w:val="ListBullet"/>
      </w:pPr>
      <w:r>
        <w:t>Федеральный закон № 152-ФЗ</w:t>
      </w:r>
    </w:p>
    <w:p>
      <w:r>
        <w:br w:type="page"/>
      </w:r>
    </w:p>
    <w:p>
      <w:pPr>
        <w:pStyle w:val="Heading1"/>
      </w:pPr>
      <w:r>
        <w:t>Правила отмены, приёмки, возвратов и споров</w:t>
      </w:r>
    </w:p>
    <w:p>
      <w:r>
        <w:t>Покупатели, продавцы и исполнители</w:t>
      </w:r>
    </w:p>
    <w:p>
      <w:pPr>
        <w:pStyle w:val="ListBullet"/>
      </w:pPr>
      <w:r>
        <w:t>Проверка условий до оплаты</w:t>
      </w:r>
    </w:p>
    <w:p>
      <w:pPr>
        <w:pStyle w:val="ListBullet"/>
      </w:pPr>
      <w:r>
        <w:t>Отмена до начала исполнения</w:t>
      </w:r>
    </w:p>
    <w:p>
      <w:pPr>
        <w:pStyle w:val="ListBullet"/>
      </w:pPr>
      <w:r>
        <w:t>Приёмка результата</w:t>
      </w:r>
    </w:p>
    <w:p>
      <w:pPr>
        <w:pStyle w:val="ListBullet"/>
      </w:pPr>
      <w:r>
        <w:t>Дистанционный товар и возврат</w:t>
      </w:r>
    </w:p>
    <w:p>
      <w:pPr>
        <w:pStyle w:val="ListBullet"/>
      </w:pPr>
      <w:r>
        <w:t>Спор, доказательства и роль платформы</w:t>
      </w:r>
    </w:p>
    <w:p>
      <w:pPr>
        <w:pStyle w:val="Heading2"/>
      </w:pPr>
      <w:r>
        <w:t>Нормативная база</w:t>
      </w:r>
    </w:p>
    <w:p>
      <w:pPr>
        <w:pStyle w:val="ListBullet"/>
      </w:pPr>
      <w:r>
        <w:t>Закон РФ № 2300-1, статья 26.1</w:t>
      </w:r>
    </w:p>
    <w:p>
      <w:pPr>
        <w:pStyle w:val="ListBullet"/>
      </w:pPr>
      <w:r>
        <w:t>ГК РФ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Ювелирка.Pro · рабочая редакция 1.0-2026-08-08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