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Правила отзывов, рейтинга и пользовательского контента</w:t>
      </w:r>
    </w:p>
    <w:p>
      <w:pPr>
        <w:jc w:val="center"/>
      </w:pPr>
      <w:r>
        <w:t>Для всех участников · версия 1.0-2026-08-08 · 08.08.2026</w:t>
      </w:r>
    </w:p>
    <w:p>
      <w:r>
        <w:rPr>
          <w:b/>
        </w:rPr>
        <w:t xml:space="preserve">Статус документа: </w:t>
      </w:r>
      <w:r>
        <w:t>рабочая юридическая редакция для структуры платформы. Перед коммерческим запуском и после существенных изменений законодательства требуется проверка профильным юристом.</w:t>
      </w:r>
    </w:p>
    <w:p>
      <w:pPr>
        <w:pStyle w:val="Heading1"/>
      </w:pPr>
      <w:r>
        <w:t>1. Назначение документа</w:t>
      </w:r>
    </w:p>
    <w:p>
      <w:r>
        <w:t>Документ регулирует использование функционала Ювелирка.Pro в сценарии «Для всех участников» и дополняет основные правила платформы, политику персональных данных и договоры, применимые к конкретной сделке.</w:t>
      </w:r>
    </w:p>
    <w:p>
      <w:pPr>
        <w:pStyle w:val="Heading1"/>
      </w:pPr>
      <w:r>
        <w:t>2. Отзывы только по реальному взаимодействию</w:t>
      </w:r>
    </w:p>
    <w:p>
      <w:r>
        <w:t>Участник действует добросовестно, фиксирует существенные условия внутри платформы, не подменяет фактический статус операции и сохраняет необходимые подтверждения для разбора спорной ситуации.</w:t>
      </w:r>
    </w:p>
    <w:p>
      <w:pPr>
        <w:pStyle w:val="Heading1"/>
      </w:pPr>
      <w:r>
        <w:t>3. Запрет персональных и банковских данных третьих лиц</w:t>
      </w:r>
    </w:p>
    <w:p>
      <w:r>
        <w:t>Пользователь обязан передавать только необходимые сведения, не раскрывать чужие персональные данные и использовать публичные поля только в пределах выданного согласия.</w:t>
      </w:r>
    </w:p>
    <w:p>
      <w:pPr>
        <w:pStyle w:val="Heading1"/>
      </w:pPr>
      <w:r>
        <w:t>4. Права на фотографии и файлы</w:t>
      </w:r>
    </w:p>
    <w:p>
      <w:r>
        <w:t>Участник действует добросовестно, фиксирует существенные условия внутри платформы, не подменяет фактический статус операции и сохраняет необходимые подтверждения для разбора спорной ситуации.</w:t>
      </w:r>
    </w:p>
    <w:p>
      <w:pPr>
        <w:pStyle w:val="Heading1"/>
      </w:pPr>
      <w:r>
        <w:t>5. Модерация и причина ограничения</w:t>
      </w:r>
    </w:p>
    <w:p>
      <w:r>
        <w:t>Участник действует добросовестно, фиксирует существенные условия внутри платформы, не подменяет фактический статус операции и сохраняет необходимые подтверждения для разбора спорной ситуации.</w:t>
      </w:r>
    </w:p>
    <w:p>
      <w:pPr>
        <w:pStyle w:val="Heading1"/>
      </w:pPr>
      <w:r>
        <w:t>6. Обжалование решения</w:t>
      </w:r>
    </w:p>
    <w:p>
      <w:r>
        <w:t>Участник действует добросовестно, фиксирует существенные условия внутри платформы, не подменяет фактический статус операции и сохраняет необходимые подтверждения для разбора спорной ситуации.</w:t>
      </w:r>
    </w:p>
    <w:p>
      <w:pPr>
        <w:pStyle w:val="Heading1"/>
      </w:pPr>
      <w:r>
        <w:t>Нормативная база</w:t>
      </w:r>
    </w:p>
    <w:p>
      <w:pPr>
        <w:pStyle w:val="ListBullet"/>
      </w:pPr>
      <w:r>
        <w:t>ГК РФ, часть IV</w:t>
      </w:r>
    </w:p>
    <w:p>
      <w:pPr>
        <w:pStyle w:val="ListBullet"/>
      </w:pPr>
      <w:r>
        <w:t>Федеральный закон № 149-ФЗ</w:t>
      </w:r>
    </w:p>
    <w:p>
      <w:pPr>
        <w:pStyle w:val="ListBullet"/>
      </w:pPr>
      <w:r>
        <w:t>Федеральный закон № 152-ФЗ</w:t>
      </w:r>
    </w:p>
    <w:p>
      <w:pPr>
        <w:pStyle w:val="Heading1"/>
      </w:pPr>
      <w:r>
        <w:t>Связанные документы платформы</w:t>
      </w:r>
    </w:p>
    <w:p>
      <w:pPr>
        <w:pStyle w:val="ListBullet"/>
      </w:pPr>
      <w:r>
        <w:t>Правила использования платформы</w:t>
      </w:r>
    </w:p>
    <w:p>
      <w:pPr>
        <w:pStyle w:val="ListBullet"/>
      </w:pPr>
      <w:r>
        <w:t>Политика персональных данных</w:t>
      </w:r>
    </w:p>
    <w:p>
      <w:pPr>
        <w:pStyle w:val="ListBullet"/>
      </w:pPr>
      <w:r>
        <w:t>Согласие на обработку персональных данных</w:t>
      </w:r>
    </w:p>
    <w:p>
      <w:pPr>
        <w:pStyle w:val="ListBullet"/>
      </w:pPr>
      <w:r>
        <w:t>Правила простой электронной подписи</w:t>
      </w:r>
    </w:p>
    <w:p>
      <w:pPr>
        <w:pStyle w:val="ListBullet"/>
      </w:pPr>
      <w:r>
        <w:t>Правила тарифов, комиссий и начислений</w:t>
      </w:r>
    </w:p>
    <w:p>
      <w:pPr>
        <w:pStyle w:val="ListBullet"/>
      </w:pPr>
      <w:r>
        <w:t>Правила отмены, приёмки, возвратов и споров</w:t>
      </w:r>
    </w:p>
    <w:sectPr w:rsidR="00FC693F" w:rsidRPr="0006063C" w:rsidSect="00034616">
      <w:footerReference w:type="default" r:id="rId9"/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Ювелирка.Pro · рабочая редакция 1.0-2026-08-08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