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платного продвижения объявлений</w:t>
      </w:r>
    </w:p>
    <w:p>
      <w:pPr>
        <w:jc w:val="center"/>
      </w:pPr>
      <w:r>
        <w:t>Все продавцы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«Все продавцы»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Услуга «Поднять»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Услуга «Выделить»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4. Цена и срок действия</w:t>
      </w:r>
    </w:p>
    <w:p>
      <w:r>
        <w:t>До подтверждения операции интерфейс должен показывать понятную стоимость, основание начисления и применимое правило. Уже зафиксированный финансовый снимок не изменяется задним числом только из-за последующей настройки тарифа.</w:t>
      </w:r>
    </w:p>
    <w:p>
      <w:pPr>
        <w:pStyle w:val="Heading1"/>
      </w:pPr>
      <w:r>
        <w:t>5. Момент оказания услуги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6. Отсутствие гарантии продажи</w:t>
      </w:r>
    </w:p>
    <w:p>
      <w:r>
        <w:t>Сведения об изделии и статусе должны соответствовать факту. Нельзя повторно продавать изделие, уже имеющее активный резерв, заказ или статус продажи. Внешняя продажа фиксируется отдельно и не создаёт фиктивную комиссию платформы.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ГК РФ</w:t>
      </w:r>
    </w:p>
    <w:p>
      <w:pPr>
        <w:pStyle w:val="ListBullet"/>
      </w:pPr>
      <w:r>
        <w:t>Закон РФ № 2300-1 в применимых случаях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