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профессионального продавца</w:t>
      </w:r>
    </w:p>
    <w:p>
      <w:pPr>
        <w:jc w:val="center"/>
      </w:pPr>
      <w:r>
        <w:t>Магазины, мастерские и профессиональные продавцы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«Магазины, мастерские и профессиональные продавцы»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Сведения о продавце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Обязательная информация о товаре</w:t>
      </w:r>
    </w:p>
    <w:p>
      <w:r>
        <w:t>Сведения об изделии и статусе должны соответствовать факту. Нельзя повторно продавать изделие, уже имеющее активный резерв, заказ или статус продажи. Внешняя продажа фиксируется отдельно и не создаёт фиктивную комиссию платформы.</w:t>
      </w:r>
    </w:p>
    <w:p>
      <w:pPr>
        <w:pStyle w:val="Heading1"/>
      </w:pPr>
      <w:r>
        <w:t>4. Дистанционная продажа и возвраты</w:t>
      </w:r>
    </w:p>
    <w:p>
      <w:r>
        <w:t>Сведения об изделии и статусе должны соответствовать факту. Нельзя повторно продавать изделие, уже имеющее активный резерв, заказ или статус продажи. Внешняя продажа фиксируется отдельно и не создаёт фиктивную комиссию платформы.</w:t>
      </w:r>
    </w:p>
    <w:p>
      <w:pPr>
        <w:pStyle w:val="Heading1"/>
      </w:pPr>
      <w:r>
        <w:t>5. Остатки, резерв и запрет повторной продажи</w:t>
      </w:r>
    </w:p>
    <w:p>
      <w:r>
        <w:t>Сведения об изделии и статусе должны соответствовать факту. Нельзя повторно продавать изделие, уже имеющее активный резерв, заказ или статус продажи. Внешняя продажа фиксируется отдельно и не создаёт фиктивную комиссию платформы.</w:t>
      </w:r>
    </w:p>
    <w:p>
      <w:pPr>
        <w:pStyle w:val="Heading1"/>
      </w:pPr>
      <w:r>
        <w:t>6. Документы при передаче товара</w:t>
      </w:r>
    </w:p>
    <w:p>
      <w:r>
        <w:t>Фактический участник операции самостоятельно оформляет обязательные первичные, кассовые, налоговые и отраслевые документы, если законодательство возлагает эту обязанность на него.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Закон РФ № 2300-1, статьи 8-10 и 26.1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