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  <w:jc w:val="center"/>
      </w:pPr>
      <w:r>
        <w:t>Правила для частного продавца</w:t>
      </w:r>
    </w:p>
    <w:p>
      <w:pPr>
        <w:jc w:val="center"/>
      </w:pPr>
      <w:r>
        <w:t>Частный продавец · версия 1.0-2026-08-08 · 08.08.2026</w:t>
      </w:r>
    </w:p>
    <w:p>
      <w:r>
        <w:rPr>
          <w:b/>
        </w:rPr>
        <w:t xml:space="preserve">Статус документа: </w:t>
      </w:r>
      <w:r>
        <w:t>рабочая юридическая редакция для структуры платформы. Перед коммерческим запуском и после существенных изменений законодательства требуется проверка профильным юристом.</w:t>
      </w:r>
    </w:p>
    <w:p>
      <w:pPr>
        <w:pStyle w:val="Heading1"/>
      </w:pPr>
      <w:r>
        <w:t>1. Назначение документа</w:t>
      </w:r>
    </w:p>
    <w:p>
      <w:r>
        <w:t>Документ регулирует использование функционала Ювелирка.Pro в сценарии «Частный продавец» и дополняет основные правила платформы, политику персональных данных и договоры, применимые к конкретной сделке.</w:t>
      </w:r>
    </w:p>
    <w:p>
      <w:pPr>
        <w:pStyle w:val="Heading1"/>
      </w:pPr>
      <w:r>
        <w:t>2. Право распоряжаться изделием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3. Достоверность карточки и фотографий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4. Продажа через платформу</w:t>
      </w:r>
    </w:p>
    <w:p>
      <w:r>
        <w:t>Сведения об изделии и статусе должны соответствовать факту. Нельзя повторно продавать изделие, уже имеющее активный резерв, заказ или статус продажи. Внешняя продажа фиксируется отдельно и не создаёт фиктивную комиссию платформы.</w:t>
      </w:r>
    </w:p>
    <w:p>
      <w:pPr>
        <w:pStyle w:val="Heading1"/>
      </w:pPr>
      <w:r>
        <w:t>5. Продажа вне платформы и закрытие объявления</w:t>
      </w:r>
    </w:p>
    <w:p>
      <w:r>
        <w:t>Сведения об изделии и статусе должны соответствовать факту. Нельзя повторно продавать изделие, уже имеющее активный резерв, заказ или статус продажи. Внешняя продажа фиксируется отдельно и не создаёт фиктивную комиссию платформы.</w:t>
      </w:r>
    </w:p>
    <w:p>
      <w:pPr>
        <w:pStyle w:val="Heading1"/>
      </w:pPr>
      <w:r>
        <w:t>6. Споры и доказательства</w:t>
      </w:r>
    </w:p>
    <w:p>
      <w:r>
        <w:t>Участник действует добросовестно, фиксирует существенные условия внутри платформы, не подменяет фактический статус операции и сохраняет необходимые подтверждения для разбора спорной ситуации.</w:t>
      </w:r>
    </w:p>
    <w:p>
      <w:pPr>
        <w:pStyle w:val="Heading1"/>
      </w:pPr>
      <w:r>
        <w:t>Нормативная база</w:t>
      </w:r>
    </w:p>
    <w:p>
      <w:pPr>
        <w:pStyle w:val="ListBullet"/>
      </w:pPr>
      <w:r>
        <w:t>ГК РФ</w:t>
      </w:r>
    </w:p>
    <w:p>
      <w:pPr>
        <w:pStyle w:val="ListBullet"/>
      </w:pPr>
      <w:r>
        <w:t>Закон РФ № 2300-1 в применимых случаях</w:t>
      </w:r>
    </w:p>
    <w:p>
      <w:pPr>
        <w:pStyle w:val="Heading1"/>
      </w:pPr>
      <w:r>
        <w:t>Связанные документы платформы</w:t>
      </w:r>
    </w:p>
    <w:p>
      <w:pPr>
        <w:pStyle w:val="ListBullet"/>
      </w:pPr>
      <w:r>
        <w:t>Правила использования платформы</w:t>
      </w:r>
    </w:p>
    <w:p>
      <w:pPr>
        <w:pStyle w:val="ListBullet"/>
      </w:pPr>
      <w:r>
        <w:t>Политика персональных данных</w:t>
      </w:r>
    </w:p>
    <w:p>
      <w:pPr>
        <w:pStyle w:val="ListBullet"/>
      </w:pPr>
      <w:r>
        <w:t>Согласие на обработку персональных данных</w:t>
      </w:r>
    </w:p>
    <w:p>
      <w:pPr>
        <w:pStyle w:val="ListBullet"/>
      </w:pPr>
      <w:r>
        <w:t>Правила простой электронной подписи</w:t>
      </w:r>
    </w:p>
    <w:p>
      <w:pPr>
        <w:pStyle w:val="ListBullet"/>
      </w:pPr>
      <w:r>
        <w:t>Правила тарифов, комиссий и начислений</w:t>
      </w:r>
    </w:p>
    <w:p>
      <w:pPr>
        <w:pStyle w:val="ListBullet"/>
      </w:pPr>
      <w:r>
        <w:t>Правила отмены, приёмки, возвратов и споров</w:t>
      </w:r>
    </w:p>
    <w:sectPr w:rsidR="00FC693F" w:rsidRPr="0006063C" w:rsidSect="00034616">
      <w:footerReference w:type="default" r:id="rId9"/>
      <w:pgSz w:w="12240" w:h="15840"/>
      <w:pgMar w:top="1020" w:right="1134" w:bottom="1020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jc w:val="center"/>
    </w:pPr>
    <w:r>
      <w:rPr>
        <w:sz w:val="16"/>
      </w:rPr>
      <w:t>Ювелирка.Pro · рабочая редакция 1.0-2026-08-08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 w:ascii="Arial" w:hAnsi="Arial"/>
      <w:b/>
      <w:bCs/>
      <w:color w:val="365F91" w:themeColor="accent1" w:themeShade="BF"/>
      <w:sz w:val="30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 w:ascii="Arial" w:hAnsi="Arial"/>
      <w:b/>
      <w:bCs/>
      <w:color w:val="4F81BD" w:themeColor="accent1"/>
      <w:sz w:val="24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Arial" w:hAnsi="Arial"/>
      <w:color w:val="17365D" w:themeColor="text2" w:themeShade="BF"/>
      <w:spacing w:val="5"/>
      <w:kern w:val="28"/>
      <w:sz w:val="40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