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Реквизиты владельца платформы</w:t>
      </w:r>
    </w:p>
    <w:p>
      <w:pPr>
        <w:jc w:val="center"/>
      </w:pPr>
      <w:r>
        <w:rPr>
          <w:i/>
        </w:rPr>
        <w:t>Сведения об индивидуальном предпринимателе и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Регистрационные и контактные сведения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Полное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Сокращённое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регистрации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21.07.2022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Режим поддержки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Пн–Пт, 09:00–18:00</w:t>
            </w:r>
          </w:p>
        </w:tc>
      </w:tr>
    </w:tbl>
    <w:p>
      <w:r>
        <w:br w:type="page"/>
      </w:r>
    </w:p>
    <w:p>
      <w:pPr>
        <w:pStyle w:val="Heading1"/>
      </w:pPr>
      <w:r>
        <w:t>Банковские, налоговые и отраслевые сведения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Расчётный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40802810320000014389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КАЛИНИНГРАДСКОЕ ОТДЕЛЕНИЕ №8626 ПАО СБЕРБАНК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042748634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Корреспондентский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30101810100000000634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режим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НДС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Основной вид деятельности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изготовление и ремонт ювелирных изделий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ГИИС ДМДК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ИП390303066300000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Именник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ЦФГО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Номер специального учёта ФПП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не указан; требуется заполнить по документу Федеральной пробирной палаты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Подсудность потребительских споров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 выбору потребителя в соответствии со статьёй 17 Закона РФ «О защите прав потребителей»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B2B-споры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Арбитражный суд Калининградской области, если соглашение о территориальной подсудности допустимо законом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96969"/>
        <w:sz w:val="15"/>
      </w:rPr>
      <w:t>ИП Головин А. В. | ИНН 390405157319 | ОГРНИП 322392600032307 | info@uvelirka.pro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916923"/>
        <w:sz w:val="16"/>
      </w:rPr>
      <w:t>ЮВЕЛИРКА.PRO  |  Реквизиты владельца платформы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erif" w:hAnsi="Liberation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color w:val="26201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