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для 3D-моделлера</w:t>
      </w:r>
    </w:p>
    <w:p>
      <w:pPr>
        <w:jc w:val="center"/>
      </w:pPr>
      <w:r>
        <w:t>3D-моделлер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«3D-моделлер»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Техническое задание и допуски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Версии и количество правок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Передача файлов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Лицензии и исключительные права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6. Использование работы в портфолио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РФ, часть IV</w:t>
      </w:r>
    </w:p>
    <w:p>
      <w:pPr>
        <w:pStyle w:val="ListBullet"/>
      </w:pPr>
      <w:r>
        <w:t>Федеральный закон № 152-ФЗ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