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 на рекламные и маркетинговые сообщения</w:t>
      </w:r>
    </w:p>
    <w:p>
      <w:pPr>
        <w:jc w:val="center"/>
      </w:pPr>
      <w:r>
        <w:t>Для всех участников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«Для всех участников»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Каналы рекламных сообщений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Предварительное добровольное согласие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Отделение рекламы от сервисных уведомлений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Порядок отзыва согласия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Федеральный закон № 38-ФЗ, статья 18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