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Правила партнёра по скупке</w:t>
      </w:r>
    </w:p>
    <w:p>
      <w:pPr>
        <w:jc w:val="center"/>
      </w:pPr>
      <w:r>
        <w:t>Скупщик драгоценных металлов и изделий · версия 1.0-2026-08-08 · 08.08.2026</w:t>
      </w:r>
    </w:p>
    <w:p>
      <w:r>
        <w:rPr>
          <w:b/>
        </w:rPr>
        <w:t xml:space="preserve">Статус документа: </w:t>
      </w:r>
      <w:r>
        <w:t>рабочая юридическая редакция для структуры платформы. Перед коммерческим запуском и после существенных изменений законодательства требуется проверка профильным юристом.</w:t>
      </w:r>
    </w:p>
    <w:p>
      <w:pPr>
        <w:pStyle w:val="Heading1"/>
      </w:pPr>
      <w:r>
        <w:t>1. Назначение документа</w:t>
      </w:r>
    </w:p>
    <w:p>
      <w:r>
        <w:t>Документ регулирует использование функционала Ювелирка.Pro в сценарии «Скупщик драгоценных металлов и изделий» и дополняет основные правила платформы, политику персональных данных и договоры, применимые к конкретной сделке.</w:t>
      </w:r>
    </w:p>
    <w:p>
      <w:pPr>
        <w:pStyle w:val="Heading1"/>
      </w:pPr>
      <w:r>
        <w:t>2. Предварительная заявка</w:t>
      </w:r>
    </w:p>
    <w:p>
      <w:r>
        <w:t>Участник действует добросовестно, фиксирует существенные условия внутри платформы, не подменяет фактический статус операции и сохраняет необходимые подтверждения для разбора спорной ситуации.</w:t>
      </w:r>
    </w:p>
    <w:p>
      <w:pPr>
        <w:pStyle w:val="Heading1"/>
      </w:pPr>
      <w:r>
        <w:t>3. Проверка правового статуса партнёра</w:t>
      </w:r>
    </w:p>
    <w:p>
      <w:r>
        <w:t>Участник действует добросовестно, фиксирует существенные условия внутри платформы, не подменяет фактический статус операции и сохраняет необходимые подтверждения для разбора спорной ситуации.</w:t>
      </w:r>
    </w:p>
    <w:p>
      <w:pPr>
        <w:pStyle w:val="Heading1"/>
      </w:pPr>
      <w:r>
        <w:t>4. Очная оценка</w:t>
      </w:r>
    </w:p>
    <w:p>
      <w:r>
        <w:t>Участник действует добросовестно, фиксирует существенные условия внутри платформы, не подменяет фактический статус операции и сохраняет необходимые подтверждения для разбора спорной ситуации.</w:t>
      </w:r>
    </w:p>
    <w:p>
      <w:pPr>
        <w:pStyle w:val="Heading1"/>
      </w:pPr>
      <w:r>
        <w:t>5. Окончательная цена и расчёт</w:t>
      </w:r>
    </w:p>
    <w:p>
      <w:r>
        <w:t>До подтверждения операции интерфейс должен показывать понятную стоимость, основание начисления и применимое правило. Уже зафиксированный финансовый снимок не изменяется задним числом только из-за последующей настройки тарифа.</w:t>
      </w:r>
    </w:p>
    <w:p>
      <w:pPr>
        <w:pStyle w:val="Heading1"/>
      </w:pPr>
      <w:r>
        <w:t>6. Кассовые и отраслевые документы</w:t>
      </w:r>
    </w:p>
    <w:p>
      <w:r>
        <w:t>Фактический участник операции самостоятельно оформляет обязательные первичные, кассовые, налоговые и отраслевые документы, если законодательство возлагает эту обязанность на него.</w:t>
      </w:r>
    </w:p>
    <w:p>
      <w:pPr>
        <w:pStyle w:val="Heading1"/>
      </w:pPr>
      <w:r>
        <w:t>Нормативная база</w:t>
      </w:r>
    </w:p>
    <w:p>
      <w:pPr>
        <w:pStyle w:val="ListBullet"/>
      </w:pPr>
      <w:r>
        <w:t>Федеральный закон № 41-ФЗ</w:t>
      </w:r>
    </w:p>
    <w:p>
      <w:pPr>
        <w:pStyle w:val="ListBullet"/>
      </w:pPr>
      <w:r>
        <w:t>Постановление Правительства РФ № 270</w:t>
      </w:r>
    </w:p>
    <w:p>
      <w:pPr>
        <w:pStyle w:val="ListBullet"/>
      </w:pPr>
      <w:r>
        <w:t>Федеральный закон № 54-ФЗ</w:t>
      </w:r>
    </w:p>
    <w:p>
      <w:pPr>
        <w:pStyle w:val="Heading1"/>
      </w:pPr>
      <w:r>
        <w:t>Связанные документы платформы</w:t>
      </w:r>
    </w:p>
    <w:p>
      <w:pPr>
        <w:pStyle w:val="ListBullet"/>
      </w:pPr>
      <w:r>
        <w:t>Правила использования платформы</w:t>
      </w:r>
    </w:p>
    <w:p>
      <w:pPr>
        <w:pStyle w:val="ListBullet"/>
      </w:pPr>
      <w:r>
        <w:t>Политика персональных данных</w:t>
      </w:r>
    </w:p>
    <w:p>
      <w:pPr>
        <w:pStyle w:val="ListBullet"/>
      </w:pPr>
      <w:r>
        <w:t>Согласие на обработку персональных данных</w:t>
      </w:r>
    </w:p>
    <w:p>
      <w:pPr>
        <w:pStyle w:val="ListBullet"/>
      </w:pPr>
      <w:r>
        <w:t>Правила простой электронной подписи</w:t>
      </w:r>
    </w:p>
    <w:p>
      <w:pPr>
        <w:pStyle w:val="ListBullet"/>
      </w:pPr>
      <w:r>
        <w:t>Правила тарифов, комиссий и начислений</w:t>
      </w:r>
    </w:p>
    <w:p>
      <w:pPr>
        <w:pStyle w:val="ListBullet"/>
      </w:pPr>
      <w:r>
        <w:t>Правила отмены, приёмки, возвратов и споров</w:t>
      </w:r>
    </w:p>
    <w:sectPr w:rsidR="00FC693F" w:rsidRPr="0006063C" w:rsidSect="00034616">
      <w:footerReference w:type="default" r:id="rId9"/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Ювелирка.Pro · рабочая редакция 1.0-2026-08-08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