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Правила простой электронной подписи</w:t>
      </w:r>
    </w:p>
    <w:p>
      <w:pPr>
        <w:jc w:val="center"/>
      </w:pPr>
      <w:r>
        <w:t>Для всех участников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«Для всех участников»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Идентификация пользователя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Действия, считающиеся электронным подтверждением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4. Защита учётных данных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5. Журналирование акцептов и операций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Федеральный закон № 63-ФЗ, статья 9</w:t>
      </w:r>
    </w:p>
    <w:p>
      <w:pPr>
        <w:pStyle w:val="ListBullet"/>
      </w:pPr>
      <w:r>
        <w:t>ГК РФ, статья 438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