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отмены, приёмки, возвратов и споров</w:t>
      </w:r>
    </w:p>
    <w:p>
      <w:pPr>
        <w:jc w:val="center"/>
      </w:pPr>
      <w:r>
        <w:t>Покупатели, продавцы и исполнители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«Покупатели, продавцы и исполнители»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Проверка условий до оплаты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Отмена до начала исполнения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Приёмка результата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5. Дистанционный товар и возврат</w:t>
      </w:r>
    </w:p>
    <w:p>
      <w:r>
        <w:t>Сведения об изделии и статусе должны соответствовать факту. Нельзя повторно продавать изделие, уже имеющее активный резерв, заказ или статус продажи. Внешняя продажа фиксируется отдельно и не создаёт фиктивную комиссию платформы.</w:t>
      </w:r>
    </w:p>
    <w:p>
      <w:pPr>
        <w:pStyle w:val="Heading1"/>
      </w:pPr>
      <w:r>
        <w:t>6. Спор, доказательства и роль платформы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Закон РФ № 2300-1, статья 26.1</w:t>
      </w:r>
    </w:p>
    <w:p>
      <w:pPr>
        <w:pStyle w:val="ListBullet"/>
      </w:pPr>
      <w:r>
        <w:t>ГК РФ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