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B2B-заказов и производства</w:t>
      </w:r>
    </w:p>
    <w:p>
      <w:pPr>
        <w:jc w:val="center"/>
      </w:pPr>
      <w:r>
        <w:t>Организации и подрядчики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«Организации и подрядчики»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Спецификация и партия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Цена, сроки и критерии приёмки</w:t>
      </w:r>
    </w:p>
    <w:p>
      <w:r>
        <w:t>До подтверждения операции интерфейс должен показывать понятную стоимость, основание начисления и применимое правило. Уже зафиксированный финансовый снимок не изменяется задним числом только из-за последующей настройки тарифа.</w:t>
      </w:r>
    </w:p>
    <w:p>
      <w:pPr>
        <w:pStyle w:val="Heading1"/>
      </w:pPr>
      <w:r>
        <w:t>4. Подрядчики и ответственность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Контроль качества и переделка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6. Первичные и отраслевые документы</w:t>
      </w:r>
    </w:p>
    <w:p>
      <w:r>
        <w:t>Фактический участник операции самостоятельно оформляет обязательные первичные, кассовые, налоговые и отраслевые документы, если законодательство возлагает эту обязанность на него.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ГК РФ</w:t>
      </w:r>
    </w:p>
    <w:p>
      <w:pPr>
        <w:pStyle w:val="ListBullet"/>
      </w:pPr>
      <w:r>
        <w:t>Федеральный закон № 41-ФЗ в применимых случаях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